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50754" w14:textId="72D32780" w:rsidR="00815B75" w:rsidRDefault="00347563" w:rsidP="00D019E3">
      <w:pPr>
        <w:jc w:val="center"/>
        <w:rPr>
          <w:b/>
          <w:bCs/>
          <w:color w:val="FF0000"/>
        </w:rPr>
      </w:pPr>
      <w:bookmarkStart w:id="0" w:name="_Toc189664940"/>
      <w:r w:rsidRPr="00310DD8">
        <w:t>COMUNICATO</w:t>
      </w:r>
      <w:bookmarkEnd w:id="0"/>
      <w:r w:rsidR="000D5D4A">
        <w:t xml:space="preserve"> 11-02</w:t>
      </w:r>
    </w:p>
    <w:p w14:paraId="3104F024" w14:textId="368B6613" w:rsidR="00347563" w:rsidRPr="00F1508E" w:rsidRDefault="00347563" w:rsidP="00815B75">
      <w:pPr>
        <w:pStyle w:val="Titolo1"/>
        <w:jc w:val="center"/>
      </w:pPr>
      <w:r w:rsidRPr="00F1508E">
        <w:t xml:space="preserve">Indice di percezione della corruzione 2024 </w:t>
      </w:r>
      <w:r w:rsidR="00815B75" w:rsidRPr="00F1508E">
        <w:br/>
      </w:r>
      <w:r w:rsidRPr="00F1508E">
        <w:t>Per l’Italia la prima inversione di tendenza dal 2012</w:t>
      </w:r>
    </w:p>
    <w:p w14:paraId="257D5AB0" w14:textId="1402B75B" w:rsidR="00347563" w:rsidRPr="00815B75" w:rsidRDefault="00347563" w:rsidP="00815B75">
      <w:pPr>
        <w:pStyle w:val="Titolo6"/>
        <w:jc w:val="center"/>
      </w:pPr>
      <w:r w:rsidRPr="00815B75">
        <w:t>I punteggi del CPI 2024 rivelano un’Europa occidentale i cui sforzi anticorruzione sono fermi o in diminuzione, compromettendo</w:t>
      </w:r>
      <w:r w:rsidR="000607B4">
        <w:t>ne</w:t>
      </w:r>
      <w:r w:rsidRPr="00815B75">
        <w:t xml:space="preserve"> la capacità di affrontare le sfide più urgenti, quella climatica in primis.</w:t>
      </w:r>
    </w:p>
    <w:p w14:paraId="2E9BF26B" w14:textId="77777777" w:rsidR="00815B75" w:rsidRDefault="00815B75" w:rsidP="00347563">
      <w:pPr>
        <w:rPr>
          <w:b/>
          <w:bCs/>
        </w:rPr>
      </w:pPr>
    </w:p>
    <w:p w14:paraId="550CE1F6" w14:textId="70C65E2C" w:rsidR="00347563" w:rsidRPr="00D019E3" w:rsidRDefault="00347563" w:rsidP="00347563">
      <w:r w:rsidRPr="00D019E3">
        <w:rPr>
          <w:b/>
          <w:bCs/>
        </w:rPr>
        <w:t>Milano, 11 febbraio 2025</w:t>
      </w:r>
      <w:r w:rsidRPr="00D019E3">
        <w:t xml:space="preserve"> – </w:t>
      </w:r>
      <w:proofErr w:type="spellStart"/>
      <w:r w:rsidRPr="00D019E3">
        <w:t>Transparency</w:t>
      </w:r>
      <w:proofErr w:type="spellEnd"/>
      <w:r w:rsidRPr="00D019E3">
        <w:t xml:space="preserve"> International pubblica oggi l’edizione 2024 dell’Indice di Percezione della Corruzione (CPI), </w:t>
      </w:r>
      <w:r w:rsidRPr="00D019E3">
        <w:rPr>
          <w:b/>
          <w:bCs/>
        </w:rPr>
        <w:t>il principale indicatore globale della corruzione nel settore pubblico</w:t>
      </w:r>
      <w:r w:rsidRPr="00D019E3">
        <w:t>. L'Indice assegna un punteggio a 180 Paesi e territori di tutto il mondo in base alla percezione della corruzione nel settore pubblico, utilizzando dati provenienti da 13 fonti esterne. I punteggi riflettono le opinioni di esperti</w:t>
      </w:r>
      <w:r w:rsidR="00735C67" w:rsidRPr="00D019E3">
        <w:t>.</w:t>
      </w:r>
      <w:r w:rsidRPr="00D019E3">
        <w:t xml:space="preserve"> Il CPI 2024 si concentra su </w:t>
      </w:r>
      <w:r w:rsidRPr="00D019E3">
        <w:rPr>
          <w:b/>
          <w:bCs/>
        </w:rPr>
        <w:t xml:space="preserve">come la corruzione stia </w:t>
      </w:r>
      <w:r w:rsidR="00E904BD" w:rsidRPr="00D019E3">
        <w:rPr>
          <w:b/>
          <w:bCs/>
        </w:rPr>
        <w:t>indebolendo</w:t>
      </w:r>
      <w:r w:rsidRPr="00D019E3">
        <w:rPr>
          <w:b/>
          <w:bCs/>
        </w:rPr>
        <w:t xml:space="preserve"> l'azione per il clima in tutto il mondo</w:t>
      </w:r>
      <w:r w:rsidRPr="00D019E3">
        <w:t>.</w:t>
      </w:r>
    </w:p>
    <w:p w14:paraId="18B43D62" w14:textId="309D141E" w:rsidR="00F93B79" w:rsidRPr="00D019E3" w:rsidRDefault="00F93B79" w:rsidP="00F93B79">
      <w:r w:rsidRPr="00D019E3">
        <w:t xml:space="preserve">Il punteggio dell’Italia nel CPI 2024 è di </w:t>
      </w:r>
      <w:r w:rsidRPr="00D019E3">
        <w:rPr>
          <w:b/>
          <w:bCs/>
        </w:rPr>
        <w:t>54</w:t>
      </w:r>
      <w:r w:rsidR="55FC165A" w:rsidRPr="00D019E3">
        <w:rPr>
          <w:b/>
          <w:bCs/>
        </w:rPr>
        <w:t xml:space="preserve"> e colloca</w:t>
      </w:r>
      <w:r w:rsidR="55FC165A" w:rsidRPr="00D019E3">
        <w:t xml:space="preserve"> </w:t>
      </w:r>
      <w:r w:rsidR="005C12DB" w:rsidRPr="00D019E3">
        <w:rPr>
          <w:b/>
          <w:bCs/>
        </w:rPr>
        <w:t>il Paese</w:t>
      </w:r>
      <w:r w:rsidR="4EE05D69" w:rsidRPr="00D019E3">
        <w:rPr>
          <w:b/>
          <w:bCs/>
        </w:rPr>
        <w:t xml:space="preserve"> </w:t>
      </w:r>
      <w:r w:rsidR="4EE05D69" w:rsidRPr="00D019E3">
        <w:t>al 52° posto nella classifica globale ed</w:t>
      </w:r>
      <w:r w:rsidR="55FC165A" w:rsidRPr="00D019E3">
        <w:rPr>
          <w:b/>
          <w:bCs/>
        </w:rPr>
        <w:t xml:space="preserve"> al 19° posto tra i 27 Paesi membri dell’Unione Europea</w:t>
      </w:r>
      <w:r w:rsidR="55FC165A" w:rsidRPr="00D019E3">
        <w:t>.</w:t>
      </w:r>
      <w:r w:rsidRPr="00D019E3">
        <w:t xml:space="preserve"> Nell’ambito di una tendenza alla crescita, </w:t>
      </w:r>
      <w:r w:rsidRPr="00D019E3">
        <w:rPr>
          <w:b/>
          <w:bCs/>
        </w:rPr>
        <w:t>con +14 punti dal 2012, il CPI 2024 segna il primo calo dell’Italia (-2)</w:t>
      </w:r>
      <w:r w:rsidR="2F34F495" w:rsidRPr="00D019E3">
        <w:rPr>
          <w:b/>
          <w:bCs/>
        </w:rPr>
        <w:t xml:space="preserve">. </w:t>
      </w:r>
      <w:r w:rsidRPr="00D019E3">
        <w:t>Le più recenti riforme e</w:t>
      </w:r>
      <w:r w:rsidR="5F04E800" w:rsidRPr="00D019E3">
        <w:t xml:space="preserve">d alcune </w:t>
      </w:r>
      <w:r w:rsidRPr="00D019E3">
        <w:t>questioni irrisolte stanno indebolendo i progressi nel</w:t>
      </w:r>
      <w:r w:rsidR="5FD9B80A" w:rsidRPr="00D019E3">
        <w:t xml:space="preserve"> contrasto</w:t>
      </w:r>
      <w:r w:rsidRPr="00D019E3">
        <w:t xml:space="preserve"> alla corruzione.</w:t>
      </w:r>
    </w:p>
    <w:p w14:paraId="55A38A0E" w14:textId="65E1D604" w:rsidR="00F93B79" w:rsidRPr="00D019E3" w:rsidRDefault="00F93B79" w:rsidP="00F93B79">
      <w:r w:rsidRPr="00D019E3">
        <w:t xml:space="preserve">Il sistema nazionale, negli ultimi tredici anni, ha innescato </w:t>
      </w:r>
      <w:r w:rsidRPr="00D019E3">
        <w:rPr>
          <w:b/>
          <w:bCs/>
        </w:rPr>
        <w:t>positivi cambiamenti in chiave anticorruzione</w:t>
      </w:r>
      <w:r w:rsidRPr="00D019E3">
        <w:t>: dalla Legge anticorruzione</w:t>
      </w:r>
      <w:r w:rsidRPr="00D019E3">
        <w:rPr>
          <w:b/>
          <w:bCs/>
        </w:rPr>
        <w:t xml:space="preserve"> 190</w:t>
      </w:r>
      <w:r w:rsidR="00FC1E6E" w:rsidRPr="00D019E3">
        <w:rPr>
          <w:b/>
          <w:bCs/>
        </w:rPr>
        <w:t>/</w:t>
      </w:r>
      <w:r w:rsidRPr="00D019E3">
        <w:rPr>
          <w:b/>
          <w:bCs/>
        </w:rPr>
        <w:t xml:space="preserve">2012 </w:t>
      </w:r>
      <w:r w:rsidRPr="00D019E3">
        <w:t>alla Legge</w:t>
      </w:r>
      <w:r w:rsidR="001C536C" w:rsidRPr="00D019E3">
        <w:t xml:space="preserve"> </w:t>
      </w:r>
      <w:r w:rsidRPr="00D019E3">
        <w:rPr>
          <w:b/>
          <w:bCs/>
        </w:rPr>
        <w:t>179</w:t>
      </w:r>
      <w:r w:rsidR="00FC1E6E" w:rsidRPr="00D019E3">
        <w:rPr>
          <w:b/>
          <w:bCs/>
        </w:rPr>
        <w:t>/</w:t>
      </w:r>
      <w:r w:rsidRPr="00D019E3">
        <w:rPr>
          <w:b/>
          <w:bCs/>
        </w:rPr>
        <w:t>2017</w:t>
      </w:r>
      <w:r w:rsidR="00C54238" w:rsidRPr="00D019E3">
        <w:t xml:space="preserve"> per la tutela d</w:t>
      </w:r>
      <w:r w:rsidR="009D1AFE" w:rsidRPr="00D019E3">
        <w:t>i coloro che</w:t>
      </w:r>
      <w:r w:rsidR="00C54238" w:rsidRPr="00D019E3">
        <w:t xml:space="preserve"> segnala</w:t>
      </w:r>
      <w:r w:rsidR="006B6022" w:rsidRPr="00D019E3">
        <w:t>no rea</w:t>
      </w:r>
      <w:r w:rsidR="00C54238" w:rsidRPr="00D019E3">
        <w:t xml:space="preserve">ti o irregolarità </w:t>
      </w:r>
      <w:r w:rsidR="005A1C2D" w:rsidRPr="00D019E3">
        <w:t>(</w:t>
      </w:r>
      <w:r w:rsidR="005A1C2D" w:rsidRPr="00D019E3">
        <w:rPr>
          <w:i/>
          <w:iCs/>
        </w:rPr>
        <w:t>whistleblower</w:t>
      </w:r>
      <w:r w:rsidR="005A1C2D" w:rsidRPr="00D019E3">
        <w:t xml:space="preserve">) </w:t>
      </w:r>
      <w:r w:rsidR="00C54238" w:rsidRPr="00D019E3">
        <w:t xml:space="preserve">di cui siano venuti a conoscenza </w:t>
      </w:r>
      <w:r w:rsidR="005A1C2D" w:rsidRPr="00D019E3">
        <w:t>nell’ambito del rapporto di lavoro</w:t>
      </w:r>
      <w:r w:rsidR="00C54238" w:rsidRPr="00D019E3">
        <w:t xml:space="preserve">, </w:t>
      </w:r>
      <w:r w:rsidRPr="00D019E3">
        <w:t xml:space="preserve">fino alla </w:t>
      </w:r>
      <w:r w:rsidRPr="00D019E3">
        <w:rPr>
          <w:b/>
          <w:bCs/>
        </w:rPr>
        <w:t>trasposizione della Direttiva europea sul Whistleblowing</w:t>
      </w:r>
      <w:r w:rsidRPr="00D019E3">
        <w:t xml:space="preserve"> con </w:t>
      </w:r>
      <w:r w:rsidR="00034D7E" w:rsidRPr="00D019E3">
        <w:t xml:space="preserve">il </w:t>
      </w:r>
      <w:proofErr w:type="spellStart"/>
      <w:r w:rsidR="00034D7E" w:rsidRPr="00D019E3">
        <w:t>D.Lgs.</w:t>
      </w:r>
      <w:proofErr w:type="spellEnd"/>
      <w:r w:rsidR="00034D7E" w:rsidRPr="00D019E3">
        <w:t xml:space="preserve"> </w:t>
      </w:r>
      <w:r w:rsidRPr="00D019E3">
        <w:t>23</w:t>
      </w:r>
      <w:r w:rsidR="00FC1E6E" w:rsidRPr="00D019E3">
        <w:t>/</w:t>
      </w:r>
      <w:r w:rsidRPr="00D019E3">
        <w:t>2024. Ancora, il ruolo dell’</w:t>
      </w:r>
      <w:r w:rsidRPr="00D019E3">
        <w:rPr>
          <w:b/>
          <w:bCs/>
        </w:rPr>
        <w:t xml:space="preserve">Autorità Nazionale Anticorruzione </w:t>
      </w:r>
      <w:r w:rsidRPr="00D019E3">
        <w:t xml:space="preserve">che, negli ultimi anni, ha rafforzato la disciplina sugli appalti e creato un database pubblico che rappresenta </w:t>
      </w:r>
      <w:r w:rsidRPr="00D019E3">
        <w:rPr>
          <w:b/>
          <w:bCs/>
        </w:rPr>
        <w:t>un esempio regionale di rinnovata fiducia nei sistemi di trasparenza</w:t>
      </w:r>
      <w:r w:rsidRPr="00D019E3">
        <w:t xml:space="preserve">. </w:t>
      </w:r>
    </w:p>
    <w:p w14:paraId="4B3663C0" w14:textId="0B46F980" w:rsidR="006E5E85" w:rsidRPr="00D019E3" w:rsidRDefault="00F93B79" w:rsidP="006E5E85">
      <w:r w:rsidRPr="00D019E3">
        <w:t>Tra i fattori che ancora</w:t>
      </w:r>
      <w:r w:rsidRPr="00D019E3">
        <w:rPr>
          <w:b/>
          <w:bCs/>
        </w:rPr>
        <w:t xml:space="preserve"> incidono negativamente sulla capacità del sistema di prevenzione della corruzione nel settore pubblico</w:t>
      </w:r>
      <w:r w:rsidR="006E5E85" w:rsidRPr="00D019E3">
        <w:t xml:space="preserve">: la mancanza di una </w:t>
      </w:r>
      <w:r w:rsidR="006E5E85" w:rsidRPr="00D019E3">
        <w:rPr>
          <w:b/>
          <w:bCs/>
        </w:rPr>
        <w:t>regolamentazione in tema di conflitto di interessi</w:t>
      </w:r>
      <w:r w:rsidR="006E5E85" w:rsidRPr="00D019E3">
        <w:t xml:space="preserve"> nei rapporti tra pubblico e privato</w:t>
      </w:r>
      <w:r w:rsidR="00EF7AF1" w:rsidRPr="00D019E3">
        <w:t xml:space="preserve">, </w:t>
      </w:r>
      <w:r w:rsidR="006E5E85" w:rsidRPr="00D019E3">
        <w:t xml:space="preserve">l’assenza di una </w:t>
      </w:r>
      <w:r w:rsidR="006E5E85" w:rsidRPr="00D019E3">
        <w:rPr>
          <w:b/>
          <w:bCs/>
        </w:rPr>
        <w:t>disciplina in materia di lobbying</w:t>
      </w:r>
      <w:r w:rsidR="00EF7AF1" w:rsidRPr="00D019E3">
        <w:rPr>
          <w:b/>
          <w:bCs/>
        </w:rPr>
        <w:t xml:space="preserve"> </w:t>
      </w:r>
      <w:r w:rsidR="00EF7AF1" w:rsidRPr="00D019E3">
        <w:t xml:space="preserve">e </w:t>
      </w:r>
      <w:r w:rsidR="006E5E85" w:rsidRPr="00D019E3">
        <w:t>il perdurare del</w:t>
      </w:r>
      <w:r w:rsidR="63FA78FE" w:rsidRPr="00D019E3">
        <w:t xml:space="preserve"> rinvio all’implementazione</w:t>
      </w:r>
      <w:r w:rsidR="006E5E85" w:rsidRPr="00D019E3">
        <w:t xml:space="preserve"> </w:t>
      </w:r>
      <w:r w:rsidR="006E5E85" w:rsidRPr="00D019E3">
        <w:rPr>
          <w:b/>
          <w:bCs/>
        </w:rPr>
        <w:t>del registro dei titolari effettivi</w:t>
      </w:r>
      <w:r w:rsidR="006E5E85" w:rsidRPr="00D019E3">
        <w:t xml:space="preserve"> che potrebbe limitare l’efficacia delle misure antiriciclaggio.   </w:t>
      </w:r>
    </w:p>
    <w:p w14:paraId="3313F876" w14:textId="5EF00F70" w:rsidR="007E6B6E" w:rsidRPr="00D019E3" w:rsidRDefault="004D5FC2" w:rsidP="007E6B6E">
      <w:r w:rsidRPr="00D019E3">
        <w:t xml:space="preserve">Il CPI 2024 fotografa </w:t>
      </w:r>
      <w:r w:rsidR="73BF381D" w:rsidRPr="00D019E3">
        <w:t>nel complesso</w:t>
      </w:r>
      <w:r w:rsidRPr="00D019E3">
        <w:t xml:space="preserve"> un’Europa occidentale in cui, pur </w:t>
      </w:r>
      <w:r w:rsidRPr="00D019E3">
        <w:rPr>
          <w:b/>
          <w:bCs/>
        </w:rPr>
        <w:t>rimanendo la regione con il punteggio più alto</w:t>
      </w:r>
      <w:r w:rsidRPr="00D019E3">
        <w:t xml:space="preserve"> </w:t>
      </w:r>
      <w:r w:rsidRPr="00D019E3">
        <w:rPr>
          <w:b/>
          <w:bCs/>
        </w:rPr>
        <w:t>(64),</w:t>
      </w:r>
      <w:r w:rsidRPr="00D019E3">
        <w:t> </w:t>
      </w:r>
      <w:r w:rsidRPr="00D019E3">
        <w:rPr>
          <w:b/>
          <w:bCs/>
        </w:rPr>
        <w:t>gli sforzi per combattere la corruzione sono fermi o in diminuzione</w:t>
      </w:r>
      <w:r w:rsidRPr="00D019E3">
        <w:t xml:space="preserve">. Le maggiori economie della regione (Francia e Germania) </w:t>
      </w:r>
      <w:r w:rsidRPr="00D019E3">
        <w:rPr>
          <w:b/>
          <w:bCs/>
        </w:rPr>
        <w:t>registrano un calo</w:t>
      </w:r>
      <w:r w:rsidRPr="00D019E3">
        <w:t xml:space="preserve"> e persino quelle tradizionalmente più forti (Norvegia e Svezia) </w:t>
      </w:r>
      <w:r w:rsidRPr="00D019E3">
        <w:rPr>
          <w:b/>
          <w:bCs/>
        </w:rPr>
        <w:t>ottengono i loro punteggi più bassi</w:t>
      </w:r>
      <w:r w:rsidRPr="00D019E3">
        <w:t xml:space="preserve">. </w:t>
      </w:r>
      <w:r w:rsidR="007E6B6E" w:rsidRPr="00D019E3">
        <w:t xml:space="preserve">Questo stallo compromette la capacità di affrontare le sfide più urgenti: </w:t>
      </w:r>
      <w:r w:rsidR="007E6B6E" w:rsidRPr="00D019E3">
        <w:rPr>
          <w:b/>
          <w:bCs/>
        </w:rPr>
        <w:t xml:space="preserve">la crisi climatica, </w:t>
      </w:r>
      <w:r w:rsidR="36F18B46" w:rsidRPr="00D019E3">
        <w:rPr>
          <w:b/>
          <w:bCs/>
        </w:rPr>
        <w:t>la questione</w:t>
      </w:r>
      <w:r w:rsidR="007E6B6E" w:rsidRPr="00D019E3">
        <w:rPr>
          <w:b/>
          <w:bCs/>
        </w:rPr>
        <w:t xml:space="preserve"> dello Stato di diritto e l’effic</w:t>
      </w:r>
      <w:r w:rsidR="00180E70" w:rsidRPr="00D019E3">
        <w:rPr>
          <w:b/>
          <w:bCs/>
        </w:rPr>
        <w:t>ienza</w:t>
      </w:r>
      <w:r w:rsidR="007E6B6E" w:rsidRPr="00D019E3">
        <w:rPr>
          <w:b/>
          <w:bCs/>
        </w:rPr>
        <w:t xml:space="preserve"> dei servizi pubblici.</w:t>
      </w:r>
    </w:p>
    <w:p w14:paraId="0113BE25" w14:textId="202F86B5" w:rsidR="007D0B07" w:rsidRPr="00D019E3" w:rsidRDefault="00EF6EDB" w:rsidP="007D0B07">
      <w:r w:rsidRPr="00D019E3">
        <w:lastRenderedPageBreak/>
        <w:t xml:space="preserve">Per far fronte all’indebolimento degli sforzi anticorruzione, nel 2023, la Commissione europea ha proposto alcune </w:t>
      </w:r>
      <w:r w:rsidRPr="00D019E3">
        <w:rPr>
          <w:b/>
          <w:bCs/>
        </w:rPr>
        <w:t>misure per rafforzare gli strumenti a disposizione degli Stati membri dell’UE per combattere la corruzione</w:t>
      </w:r>
      <w:r w:rsidRPr="00D019E3">
        <w:t xml:space="preserve">. </w:t>
      </w:r>
      <w:r w:rsidR="007D0B07" w:rsidRPr="00D019E3">
        <w:t xml:space="preserve">Prima fra tutte una </w:t>
      </w:r>
      <w:hyperlink r:id="rId11" w:history="1">
        <w:r w:rsidR="007D0B07" w:rsidRPr="00D019E3">
          <w:rPr>
            <w:rStyle w:val="Collegamentoipertestuale"/>
          </w:rPr>
          <w:t>Direttiva Anticorruzione</w:t>
        </w:r>
      </w:hyperlink>
      <w:r w:rsidR="007D0B07" w:rsidRPr="00D019E3">
        <w:t xml:space="preserve"> che consentirebbe all'Unione Europea di consolidare il proprio ruolo nella lotta alla corruzione, </w:t>
      </w:r>
      <w:r w:rsidR="007D0B07" w:rsidRPr="00D019E3">
        <w:rPr>
          <w:b/>
          <w:bCs/>
        </w:rPr>
        <w:t xml:space="preserve">armonizzando la legislazione anticorruzione degli Stati membri </w:t>
      </w:r>
      <w:r w:rsidR="007D0B07" w:rsidRPr="00D019E3">
        <w:t xml:space="preserve">e rendendo obbligatoria nel diritto comunitario l’incriminazione per i reati previsti dalla Convenzione delle Nazioni Unite contro la corruzione (UNCAC). </w:t>
      </w:r>
    </w:p>
    <w:p w14:paraId="15A34531" w14:textId="3C66B703" w:rsidR="00DC3370" w:rsidRPr="00D019E3" w:rsidRDefault="009974E2" w:rsidP="007B4346">
      <w:r w:rsidRPr="00D019E3">
        <w:rPr>
          <w:i/>
          <w:iCs/>
        </w:rPr>
        <w:t>“Prevenzione, regolamentazione e cooperazione sono le parole chiave per un’Europa e un’Italia che mettono al primo posto la lotta alla corruzione a tutti i livelli, a partire da quello culturale</w:t>
      </w:r>
      <w:r w:rsidR="000031A8">
        <w:rPr>
          <w:i/>
          <w:iCs/>
        </w:rPr>
        <w:t xml:space="preserve">. </w:t>
      </w:r>
      <w:r w:rsidRPr="00D019E3">
        <w:rPr>
          <w:i/>
          <w:iCs/>
        </w:rPr>
        <w:t>In Europa, la Direttiva Anticorruzione</w:t>
      </w:r>
      <w:r w:rsidRPr="00D019E3">
        <w:t xml:space="preserve"> </w:t>
      </w:r>
      <w:r w:rsidRPr="00D019E3">
        <w:rPr>
          <w:i/>
          <w:iCs/>
        </w:rPr>
        <w:t>è un’opportunità che non dobbiamo lasciarci sfuggire per migliorare gli standard anticorruzione dell’intera regione, delle Istituzioni europee e di ogni Stato membro. In Italia, la regolamentazione di questioni chiave come il conflitto di interessi e il lobbying sono il primo obiettivo di questa nuova stagione di cambiamento.</w:t>
      </w:r>
      <w:r w:rsidR="007B4346" w:rsidRPr="00D019E3">
        <w:rPr>
          <w:i/>
          <w:iCs/>
        </w:rPr>
        <w:t>”</w:t>
      </w:r>
      <w:r w:rsidR="000031A8">
        <w:rPr>
          <w:i/>
          <w:iCs/>
        </w:rPr>
        <w:t xml:space="preserve"> </w:t>
      </w:r>
      <w:r w:rsidR="000031A8" w:rsidRPr="00B82F53">
        <w:t xml:space="preserve">– ha dichiarato </w:t>
      </w:r>
      <w:r w:rsidR="000031A8" w:rsidRPr="00B82F53">
        <w:rPr>
          <w:b/>
          <w:bCs/>
        </w:rPr>
        <w:t>Michele Calleri</w:t>
      </w:r>
      <w:r w:rsidR="000031A8" w:rsidRPr="00B82F53">
        <w:t xml:space="preserve">, Presidente </w:t>
      </w:r>
      <w:proofErr w:type="spellStart"/>
      <w:r w:rsidR="000031A8" w:rsidRPr="00B82F53">
        <w:t>Transparency</w:t>
      </w:r>
      <w:proofErr w:type="spellEnd"/>
      <w:r w:rsidR="000031A8" w:rsidRPr="00B82F53">
        <w:t xml:space="preserve"> International Italia</w:t>
      </w:r>
    </w:p>
    <w:p w14:paraId="17DBEC17" w14:textId="0A999EA2" w:rsidR="00D30308" w:rsidRPr="00D019E3" w:rsidRDefault="00A809D6" w:rsidP="00A809D6">
      <w:r w:rsidRPr="00D019E3">
        <w:t>Maggiori informazioni sul CPI </w:t>
      </w:r>
      <w:r w:rsidR="00932B92" w:rsidRPr="00D019E3">
        <w:t xml:space="preserve">2024 </w:t>
      </w:r>
      <w:r w:rsidRPr="00D019E3">
        <w:t>sono disponibili su </w:t>
      </w:r>
      <w:hyperlink r:id="rId12" w:tgtFrame="_blank" w:history="1">
        <w:r w:rsidRPr="00D019E3">
          <w:rPr>
            <w:rStyle w:val="Collegamentoipertestuale"/>
          </w:rPr>
          <w:t>transparency.it/indice-percezione-corruzione</w:t>
        </w:r>
      </w:hyperlink>
      <w:r w:rsidRPr="00D019E3">
        <w:t xml:space="preserve">  </w:t>
      </w:r>
    </w:p>
    <w:sectPr w:rsidR="00D30308" w:rsidRPr="00D019E3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F54F0" w14:textId="77777777" w:rsidR="00AD47A4" w:rsidRDefault="00AD47A4" w:rsidP="006746F1">
      <w:pPr>
        <w:spacing w:after="0" w:line="240" w:lineRule="auto"/>
      </w:pPr>
      <w:r>
        <w:separator/>
      </w:r>
    </w:p>
  </w:endnote>
  <w:endnote w:type="continuationSeparator" w:id="0">
    <w:p w14:paraId="1E9B5EE3" w14:textId="77777777" w:rsidR="00AD47A4" w:rsidRDefault="00AD47A4" w:rsidP="006746F1">
      <w:pPr>
        <w:spacing w:after="0" w:line="240" w:lineRule="auto"/>
      </w:pPr>
      <w:r>
        <w:continuationSeparator/>
      </w:r>
    </w:p>
  </w:endnote>
  <w:endnote w:type="continuationNotice" w:id="1">
    <w:p w14:paraId="4979AF6E" w14:textId="77777777" w:rsidR="00AD47A4" w:rsidRDefault="00AD47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AD2617" w14:paraId="1A8BFC80" w14:textId="77777777" w:rsidTr="0050081B">
      <w:trPr>
        <w:trHeight w:val="300"/>
      </w:trPr>
      <w:tc>
        <w:tcPr>
          <w:tcW w:w="3005" w:type="dxa"/>
        </w:tcPr>
        <w:p w14:paraId="23733005" w14:textId="77777777" w:rsidR="00AD2617" w:rsidRDefault="00AD2617" w:rsidP="00AD2617">
          <w:pPr>
            <w:pStyle w:val="Intestazione"/>
            <w:ind w:left="-115"/>
          </w:pPr>
        </w:p>
      </w:tc>
      <w:tc>
        <w:tcPr>
          <w:tcW w:w="3005" w:type="dxa"/>
        </w:tcPr>
        <w:p w14:paraId="1505EB03" w14:textId="77777777" w:rsidR="00AD2617" w:rsidRDefault="00AD2617" w:rsidP="00AD2617">
          <w:pPr>
            <w:pStyle w:val="Intestazione"/>
            <w:jc w:val="center"/>
          </w:pPr>
        </w:p>
      </w:tc>
      <w:tc>
        <w:tcPr>
          <w:tcW w:w="3005" w:type="dxa"/>
        </w:tcPr>
        <w:p w14:paraId="1F15989A" w14:textId="77777777" w:rsidR="00AD2617" w:rsidRDefault="00AD2617" w:rsidP="00AD2617">
          <w:pPr>
            <w:pStyle w:val="Intestazione"/>
            <w:ind w:right="-115"/>
            <w:jc w:val="right"/>
          </w:pPr>
        </w:p>
      </w:tc>
    </w:tr>
  </w:tbl>
  <w:p w14:paraId="076288F4" w14:textId="557578FF" w:rsidR="00AD2617" w:rsidRPr="003D03F4" w:rsidRDefault="00AD2617" w:rsidP="00AD2617">
    <w:pPr>
      <w:jc w:val="center"/>
    </w:pPr>
    <w:r>
      <w:rPr>
        <w:rFonts w:ascii="Calibri" w:eastAsia="Calibri" w:hAnsi="Calibri" w:cs="Calibri"/>
        <w:b/>
        <w:bCs/>
        <w:i/>
        <w:iCs/>
        <w:color w:val="656565"/>
        <w:sz w:val="18"/>
        <w:szCs w:val="18"/>
      </w:rPr>
      <w:t>Ufficio Stampa</w:t>
    </w:r>
    <w:r w:rsidRPr="003D03F4">
      <w:rPr>
        <w:rFonts w:ascii="Calibri" w:eastAsia="Calibri" w:hAnsi="Calibri" w:cs="Calibri"/>
        <w:b/>
        <w:bCs/>
        <w:color w:val="656565"/>
        <w:sz w:val="18"/>
        <w:szCs w:val="18"/>
      </w:rPr>
      <w:t xml:space="preserve"> </w:t>
    </w:r>
    <w:hyperlink r:id="rId1">
      <w:r w:rsidRPr="003D03F4">
        <w:rPr>
          <w:rStyle w:val="Collegamentoipertestuale"/>
          <w:rFonts w:ascii="Calibri" w:eastAsia="Calibri" w:hAnsi="Calibri" w:cs="Calibri"/>
          <w:i/>
          <w:iCs/>
          <w:sz w:val="18"/>
          <w:szCs w:val="18"/>
        </w:rPr>
        <w:t>media@transparency.it</w:t>
      </w:r>
    </w:hyperlink>
    <w:r w:rsidRPr="003D03F4">
      <w:rPr>
        <w:rFonts w:ascii="Arial" w:eastAsia="Arial" w:hAnsi="Arial" w:cs="Arial"/>
        <w:color w:val="000000" w:themeColor="text1"/>
      </w:rPr>
      <w:t xml:space="preserve"> </w:t>
    </w:r>
  </w:p>
  <w:p w14:paraId="6A2CB2EF" w14:textId="77777777" w:rsidR="00AD2617" w:rsidRDefault="00AD2617" w:rsidP="00AD2617">
    <w:pPr>
      <w:jc w:val="center"/>
    </w:pPr>
    <w:proofErr w:type="spellStart"/>
    <w:r w:rsidRPr="003D03F4">
      <w:rPr>
        <w:rFonts w:ascii="Calibri" w:eastAsia="Calibri" w:hAnsi="Calibri" w:cs="Calibri"/>
        <w:b/>
        <w:bCs/>
        <w:i/>
        <w:iCs/>
        <w:color w:val="656565"/>
        <w:sz w:val="18"/>
        <w:szCs w:val="18"/>
      </w:rPr>
      <w:t>Transparency</w:t>
    </w:r>
    <w:proofErr w:type="spellEnd"/>
    <w:r w:rsidRPr="003D03F4">
      <w:rPr>
        <w:rFonts w:ascii="Calibri" w:eastAsia="Calibri" w:hAnsi="Calibri" w:cs="Calibri"/>
        <w:b/>
        <w:bCs/>
        <w:i/>
        <w:iCs/>
        <w:color w:val="656565"/>
        <w:sz w:val="18"/>
        <w:szCs w:val="18"/>
      </w:rPr>
      <w:t xml:space="preserve"> International Italia</w:t>
    </w:r>
    <w:r w:rsidRPr="003D03F4">
      <w:rPr>
        <w:rFonts w:ascii="Calibri" w:eastAsia="Calibri" w:hAnsi="Calibri" w:cs="Calibri"/>
        <w:i/>
        <w:iCs/>
        <w:color w:val="656565"/>
        <w:sz w:val="18"/>
        <w:szCs w:val="18"/>
      </w:rPr>
      <w:t xml:space="preserve"> è un'organizzazione non governativa impegnata nella lotta alla corruzione e nella promozione della trasparenza - </w:t>
    </w:r>
    <w:hyperlink r:id="rId2">
      <w:r w:rsidRPr="003D03F4">
        <w:rPr>
          <w:rStyle w:val="Collegamentoipertestuale"/>
          <w:rFonts w:ascii="Calibri" w:eastAsia="Calibri" w:hAnsi="Calibri" w:cs="Calibri"/>
          <w:sz w:val="18"/>
          <w:szCs w:val="18"/>
        </w:rPr>
        <w:t>www.transparency.it</w:t>
      </w:r>
    </w:hyperlink>
    <w:r w:rsidRPr="003D03F4">
      <w:rPr>
        <w:rFonts w:ascii="Calibri" w:eastAsia="Calibri" w:hAnsi="Calibri" w:cs="Calibri"/>
        <w:color w:val="656565"/>
        <w:sz w:val="18"/>
        <w:szCs w:val="18"/>
      </w:rPr>
      <w:t xml:space="preserve">  </w:t>
    </w:r>
    <w:hyperlink r:id="rId3">
      <w:r w:rsidRPr="003D03F4">
        <w:rPr>
          <w:rStyle w:val="Collegamentoipertestuale"/>
          <w:rFonts w:ascii="Calibri" w:eastAsia="Calibri" w:hAnsi="Calibri" w:cs="Calibri"/>
          <w:i/>
          <w:iCs/>
          <w:sz w:val="18"/>
          <w:szCs w:val="18"/>
        </w:rPr>
        <w:t>Facebook</w:t>
      </w:r>
    </w:hyperlink>
    <w:r w:rsidRPr="003D03F4">
      <w:rPr>
        <w:rFonts w:ascii="Calibri" w:eastAsia="Calibri" w:hAnsi="Calibri" w:cs="Calibri"/>
        <w:i/>
        <w:iCs/>
        <w:color w:val="0070C0"/>
        <w:sz w:val="18"/>
        <w:szCs w:val="18"/>
      </w:rPr>
      <w:t xml:space="preserve"> | </w:t>
    </w:r>
    <w:hyperlink r:id="rId4">
      <w:r w:rsidRPr="003D03F4">
        <w:rPr>
          <w:rStyle w:val="Collegamentoipertestuale"/>
          <w:rFonts w:ascii="Calibri" w:eastAsia="Calibri" w:hAnsi="Calibri" w:cs="Calibri"/>
          <w:i/>
          <w:iCs/>
          <w:sz w:val="18"/>
          <w:szCs w:val="18"/>
        </w:rPr>
        <w:t>Twitter</w:t>
      </w:r>
    </w:hyperlink>
    <w:r w:rsidRPr="003D03F4">
      <w:rPr>
        <w:rFonts w:ascii="Calibri" w:eastAsia="Calibri" w:hAnsi="Calibri" w:cs="Calibri"/>
        <w:i/>
        <w:iCs/>
        <w:color w:val="0070C0"/>
        <w:sz w:val="18"/>
        <w:szCs w:val="18"/>
      </w:rPr>
      <w:t xml:space="preserve"> | </w:t>
    </w:r>
    <w:hyperlink r:id="rId5">
      <w:r w:rsidRPr="003D03F4">
        <w:rPr>
          <w:rStyle w:val="Collegamentoipertestuale"/>
          <w:rFonts w:ascii="Calibri" w:eastAsia="Calibri" w:hAnsi="Calibri" w:cs="Calibri"/>
          <w:i/>
          <w:iCs/>
          <w:sz w:val="18"/>
          <w:szCs w:val="18"/>
        </w:rPr>
        <w:t>Linkedin</w:t>
      </w:r>
    </w:hyperlink>
    <w:r w:rsidRPr="003D03F4">
      <w:rPr>
        <w:rFonts w:ascii="Calibri" w:eastAsia="Calibri" w:hAnsi="Calibri" w:cs="Calibri"/>
        <w:i/>
        <w:iCs/>
        <w:color w:val="0070C0"/>
        <w:sz w:val="18"/>
        <w:szCs w:val="18"/>
      </w:rPr>
      <w:t xml:space="preserve"> | </w:t>
    </w:r>
    <w:hyperlink r:id="rId6">
      <w:r w:rsidRPr="003D03F4">
        <w:rPr>
          <w:rStyle w:val="Collegamentoipertestuale"/>
          <w:rFonts w:ascii="Calibri" w:eastAsia="Calibri" w:hAnsi="Calibri" w:cs="Calibri"/>
          <w:i/>
          <w:iCs/>
          <w:sz w:val="18"/>
          <w:szCs w:val="18"/>
        </w:rPr>
        <w:t>Instagram</w:t>
      </w:r>
    </w:hyperlink>
    <w:r w:rsidRPr="003D03F4">
      <w:rPr>
        <w:rFonts w:ascii="Calibri" w:eastAsia="Calibri" w:hAnsi="Calibri" w:cs="Calibri"/>
        <w:i/>
        <w:iCs/>
        <w:color w:val="0070C0"/>
        <w:sz w:val="18"/>
        <w:szCs w:val="18"/>
      </w:rPr>
      <w:t xml:space="preserve"> | </w:t>
    </w:r>
    <w:hyperlink r:id="rId7">
      <w:r w:rsidRPr="003D03F4">
        <w:rPr>
          <w:rStyle w:val="Collegamentoipertestuale"/>
          <w:rFonts w:ascii="Calibri" w:eastAsia="Calibri" w:hAnsi="Calibri" w:cs="Calibri"/>
          <w:i/>
          <w:iCs/>
          <w:sz w:val="18"/>
          <w:szCs w:val="18"/>
        </w:rPr>
        <w:t>YouTube</w:t>
      </w:r>
    </w:hyperlink>
    <w:r w:rsidRPr="003D03F4">
      <w:rPr>
        <w:rFonts w:ascii="Arial" w:eastAsia="Arial" w:hAnsi="Arial" w:cs="Arial"/>
        <w:color w:val="000000" w:themeColor="text1"/>
      </w:rPr>
      <w:t xml:space="preserve"> </w:t>
    </w:r>
  </w:p>
  <w:p w14:paraId="635E9BC4" w14:textId="77777777" w:rsidR="005249B8" w:rsidRDefault="005249B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DCB10" w14:textId="77777777" w:rsidR="00AD47A4" w:rsidRDefault="00AD47A4" w:rsidP="006746F1">
      <w:pPr>
        <w:spacing w:after="0" w:line="240" w:lineRule="auto"/>
      </w:pPr>
      <w:r>
        <w:separator/>
      </w:r>
    </w:p>
  </w:footnote>
  <w:footnote w:type="continuationSeparator" w:id="0">
    <w:p w14:paraId="739E5D90" w14:textId="77777777" w:rsidR="00AD47A4" w:rsidRDefault="00AD47A4" w:rsidP="006746F1">
      <w:pPr>
        <w:spacing w:after="0" w:line="240" w:lineRule="auto"/>
      </w:pPr>
      <w:r>
        <w:continuationSeparator/>
      </w:r>
    </w:p>
  </w:footnote>
  <w:footnote w:type="continuationNotice" w:id="1">
    <w:p w14:paraId="29E28E28" w14:textId="77777777" w:rsidR="00AD47A4" w:rsidRDefault="00AD47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9DD41" w14:textId="77777777" w:rsidR="005249B8" w:rsidRDefault="005249B8" w:rsidP="00A809D6">
    <w:pPr>
      <w:pStyle w:val="Titolo"/>
      <w:spacing w:after="120"/>
      <w:rPr>
        <w:b/>
        <w:bCs/>
        <w:color w:val="FF0000"/>
        <w:sz w:val="36"/>
        <w:szCs w:val="36"/>
        <w:lang w:val="en-GB"/>
      </w:rPr>
    </w:pPr>
    <w:r>
      <w:rPr>
        <w:b/>
        <w:bCs/>
        <w:noProof/>
        <w:color w:val="FF0000"/>
        <w:sz w:val="36"/>
        <w:szCs w:val="36"/>
        <w:lang w:val="en-GB"/>
      </w:rPr>
      <w:drawing>
        <wp:inline distT="0" distB="0" distL="0" distR="0" wp14:anchorId="5BE5E85B" wp14:editId="77C213FD">
          <wp:extent cx="1721287" cy="548640"/>
          <wp:effectExtent l="0" t="0" r="0" b="3810"/>
          <wp:docPr id="2111754776" name="Immagine 1" descr="Immagine che contiene Carattere, testo, Elementi grafici, grafic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1754776" name="Immagine 1" descr="Immagine che contiene Carattere, testo, Elementi grafici, grafica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740" cy="5510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DA9CF" w14:textId="77777777" w:rsidR="00627BDA" w:rsidRPr="00627BDA" w:rsidRDefault="00627BDA" w:rsidP="00627BDA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A70B2"/>
    <w:multiLevelType w:val="multilevel"/>
    <w:tmpl w:val="4BBC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507973"/>
    <w:multiLevelType w:val="multilevel"/>
    <w:tmpl w:val="FD345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CD50AE"/>
    <w:multiLevelType w:val="hybridMultilevel"/>
    <w:tmpl w:val="E0EA0940"/>
    <w:lvl w:ilvl="0" w:tplc="1B32C36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B0B8F38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8F001D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1E5284A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4" w:tplc="1A56B54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EACD88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6" w:tplc="37DC79B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7" w:tplc="337811F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A0EA57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</w:abstractNum>
  <w:abstractNum w:abstractNumId="3" w15:restartNumberingAfterBreak="0">
    <w:nsid w:val="25764ED3"/>
    <w:multiLevelType w:val="multilevel"/>
    <w:tmpl w:val="7D92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0570CD"/>
    <w:multiLevelType w:val="multilevel"/>
    <w:tmpl w:val="623E7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305E7F"/>
    <w:multiLevelType w:val="hybridMultilevel"/>
    <w:tmpl w:val="FE5CB7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43F76"/>
    <w:multiLevelType w:val="hybridMultilevel"/>
    <w:tmpl w:val="997EF612"/>
    <w:lvl w:ilvl="0" w:tplc="DACE8E4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0A0D6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38031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14AA3DF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97A0C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36550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489014A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2C006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F006D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 w15:restartNumberingAfterBreak="0">
    <w:nsid w:val="6BCB0D7F"/>
    <w:multiLevelType w:val="hybridMultilevel"/>
    <w:tmpl w:val="E982BD54"/>
    <w:lvl w:ilvl="0" w:tplc="E98C2AF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4798EBC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B8A96E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7590AABE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4" w:tplc="B5421D1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F78BC8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6" w:tplc="31C6050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7" w:tplc="595ECA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BF2EB0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</w:abstractNum>
  <w:num w:numId="1" w16cid:durableId="973028881">
    <w:abstractNumId w:val="4"/>
  </w:num>
  <w:num w:numId="2" w16cid:durableId="655843402">
    <w:abstractNumId w:val="1"/>
  </w:num>
  <w:num w:numId="3" w16cid:durableId="1876455146">
    <w:abstractNumId w:val="5"/>
  </w:num>
  <w:num w:numId="4" w16cid:durableId="694574250">
    <w:abstractNumId w:val="0"/>
  </w:num>
  <w:num w:numId="5" w16cid:durableId="553544749">
    <w:abstractNumId w:val="2"/>
  </w:num>
  <w:num w:numId="6" w16cid:durableId="2076659204">
    <w:abstractNumId w:val="3"/>
  </w:num>
  <w:num w:numId="7" w16cid:durableId="1496452015">
    <w:abstractNumId w:val="7"/>
  </w:num>
  <w:num w:numId="8" w16cid:durableId="18137852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A2E"/>
    <w:rsid w:val="000031A8"/>
    <w:rsid w:val="000108BE"/>
    <w:rsid w:val="00010C10"/>
    <w:rsid w:val="00013255"/>
    <w:rsid w:val="0001380F"/>
    <w:rsid w:val="00014B81"/>
    <w:rsid w:val="000223E4"/>
    <w:rsid w:val="000264C3"/>
    <w:rsid w:val="00027348"/>
    <w:rsid w:val="00027417"/>
    <w:rsid w:val="00034D7E"/>
    <w:rsid w:val="00055085"/>
    <w:rsid w:val="000607B4"/>
    <w:rsid w:val="00066238"/>
    <w:rsid w:val="000723B0"/>
    <w:rsid w:val="000760AF"/>
    <w:rsid w:val="00081A1C"/>
    <w:rsid w:val="00082AEF"/>
    <w:rsid w:val="00084092"/>
    <w:rsid w:val="00086F6E"/>
    <w:rsid w:val="00087F7C"/>
    <w:rsid w:val="00090337"/>
    <w:rsid w:val="0009580E"/>
    <w:rsid w:val="000B1907"/>
    <w:rsid w:val="000B3BB4"/>
    <w:rsid w:val="000B76B7"/>
    <w:rsid w:val="000C1520"/>
    <w:rsid w:val="000D0ED2"/>
    <w:rsid w:val="000D1953"/>
    <w:rsid w:val="000D3BAD"/>
    <w:rsid w:val="000D5D4A"/>
    <w:rsid w:val="000D6A9E"/>
    <w:rsid w:val="000D7FC0"/>
    <w:rsid w:val="000E0ECB"/>
    <w:rsid w:val="000E2A83"/>
    <w:rsid w:val="000E54B3"/>
    <w:rsid w:val="000E6186"/>
    <w:rsid w:val="00101332"/>
    <w:rsid w:val="00101976"/>
    <w:rsid w:val="001072D9"/>
    <w:rsid w:val="00107B71"/>
    <w:rsid w:val="00111290"/>
    <w:rsid w:val="001123D0"/>
    <w:rsid w:val="0011286C"/>
    <w:rsid w:val="00116AE2"/>
    <w:rsid w:val="00120C7E"/>
    <w:rsid w:val="0012267E"/>
    <w:rsid w:val="0013466E"/>
    <w:rsid w:val="0013469E"/>
    <w:rsid w:val="00136941"/>
    <w:rsid w:val="00136BD7"/>
    <w:rsid w:val="00144C85"/>
    <w:rsid w:val="00154800"/>
    <w:rsid w:val="00161661"/>
    <w:rsid w:val="0016329D"/>
    <w:rsid w:val="001655C0"/>
    <w:rsid w:val="00177780"/>
    <w:rsid w:val="00177F51"/>
    <w:rsid w:val="0018055F"/>
    <w:rsid w:val="00180E70"/>
    <w:rsid w:val="00182C84"/>
    <w:rsid w:val="00184919"/>
    <w:rsid w:val="001863B7"/>
    <w:rsid w:val="00186B81"/>
    <w:rsid w:val="00191C64"/>
    <w:rsid w:val="001939FB"/>
    <w:rsid w:val="001A01DE"/>
    <w:rsid w:val="001A10EC"/>
    <w:rsid w:val="001A419C"/>
    <w:rsid w:val="001C46BE"/>
    <w:rsid w:val="001C536C"/>
    <w:rsid w:val="001D043E"/>
    <w:rsid w:val="001D05CB"/>
    <w:rsid w:val="001D47CE"/>
    <w:rsid w:val="001E5930"/>
    <w:rsid w:val="001E6BF3"/>
    <w:rsid w:val="001F22FA"/>
    <w:rsid w:val="001F2B2B"/>
    <w:rsid w:val="00202257"/>
    <w:rsid w:val="002049B6"/>
    <w:rsid w:val="00210480"/>
    <w:rsid w:val="002112AC"/>
    <w:rsid w:val="00213655"/>
    <w:rsid w:val="002158BE"/>
    <w:rsid w:val="0022316E"/>
    <w:rsid w:val="00231C8C"/>
    <w:rsid w:val="00232BFD"/>
    <w:rsid w:val="00240601"/>
    <w:rsid w:val="0025146B"/>
    <w:rsid w:val="00261A8C"/>
    <w:rsid w:val="00262199"/>
    <w:rsid w:val="00264513"/>
    <w:rsid w:val="00265877"/>
    <w:rsid w:val="002714FC"/>
    <w:rsid w:val="00276502"/>
    <w:rsid w:val="002824AC"/>
    <w:rsid w:val="00283E0D"/>
    <w:rsid w:val="002B683A"/>
    <w:rsid w:val="002C0148"/>
    <w:rsid w:val="002C143D"/>
    <w:rsid w:val="002C250D"/>
    <w:rsid w:val="002C5FB5"/>
    <w:rsid w:val="002E029B"/>
    <w:rsid w:val="002F5A4E"/>
    <w:rsid w:val="002F7D94"/>
    <w:rsid w:val="00303248"/>
    <w:rsid w:val="003055F3"/>
    <w:rsid w:val="00305668"/>
    <w:rsid w:val="00310DD8"/>
    <w:rsid w:val="00316B89"/>
    <w:rsid w:val="003218B8"/>
    <w:rsid w:val="00327657"/>
    <w:rsid w:val="003324AB"/>
    <w:rsid w:val="00333C38"/>
    <w:rsid w:val="003363F2"/>
    <w:rsid w:val="00340CFA"/>
    <w:rsid w:val="00342027"/>
    <w:rsid w:val="00347563"/>
    <w:rsid w:val="00352692"/>
    <w:rsid w:val="00353D45"/>
    <w:rsid w:val="00353FE4"/>
    <w:rsid w:val="003723F4"/>
    <w:rsid w:val="00374FA2"/>
    <w:rsid w:val="00377CB6"/>
    <w:rsid w:val="00386E62"/>
    <w:rsid w:val="003A373F"/>
    <w:rsid w:val="003D2F35"/>
    <w:rsid w:val="003D3BC5"/>
    <w:rsid w:val="003D5A08"/>
    <w:rsid w:val="003E0620"/>
    <w:rsid w:val="003E46B4"/>
    <w:rsid w:val="003F64E5"/>
    <w:rsid w:val="00402EF8"/>
    <w:rsid w:val="004049CB"/>
    <w:rsid w:val="004133F4"/>
    <w:rsid w:val="00414B51"/>
    <w:rsid w:val="004170B4"/>
    <w:rsid w:val="004211E4"/>
    <w:rsid w:val="004217EC"/>
    <w:rsid w:val="0042584A"/>
    <w:rsid w:val="00432E3C"/>
    <w:rsid w:val="004351D5"/>
    <w:rsid w:val="0044086C"/>
    <w:rsid w:val="00441C94"/>
    <w:rsid w:val="00446A73"/>
    <w:rsid w:val="004500F5"/>
    <w:rsid w:val="00454BCA"/>
    <w:rsid w:val="004636C5"/>
    <w:rsid w:val="0047785C"/>
    <w:rsid w:val="00480C84"/>
    <w:rsid w:val="004820FE"/>
    <w:rsid w:val="004A3349"/>
    <w:rsid w:val="004B11DB"/>
    <w:rsid w:val="004B4C60"/>
    <w:rsid w:val="004C1618"/>
    <w:rsid w:val="004C5C98"/>
    <w:rsid w:val="004C6AD9"/>
    <w:rsid w:val="004D000B"/>
    <w:rsid w:val="004D3751"/>
    <w:rsid w:val="004D555B"/>
    <w:rsid w:val="004D5FC2"/>
    <w:rsid w:val="004E2052"/>
    <w:rsid w:val="004E4196"/>
    <w:rsid w:val="004E6CA5"/>
    <w:rsid w:val="004F1523"/>
    <w:rsid w:val="0050081B"/>
    <w:rsid w:val="0050344C"/>
    <w:rsid w:val="00511D3D"/>
    <w:rsid w:val="00511ED2"/>
    <w:rsid w:val="00511F37"/>
    <w:rsid w:val="00516576"/>
    <w:rsid w:val="00521D21"/>
    <w:rsid w:val="0052246B"/>
    <w:rsid w:val="005249B8"/>
    <w:rsid w:val="005438B0"/>
    <w:rsid w:val="005500BE"/>
    <w:rsid w:val="005518F3"/>
    <w:rsid w:val="00551BF0"/>
    <w:rsid w:val="00552624"/>
    <w:rsid w:val="00563F74"/>
    <w:rsid w:val="00566C9D"/>
    <w:rsid w:val="0057111B"/>
    <w:rsid w:val="005718EC"/>
    <w:rsid w:val="00576A18"/>
    <w:rsid w:val="00577331"/>
    <w:rsid w:val="00577D51"/>
    <w:rsid w:val="00583A38"/>
    <w:rsid w:val="00587BCC"/>
    <w:rsid w:val="00590D43"/>
    <w:rsid w:val="00591CEC"/>
    <w:rsid w:val="00596A50"/>
    <w:rsid w:val="00597130"/>
    <w:rsid w:val="005A102E"/>
    <w:rsid w:val="005A1C2D"/>
    <w:rsid w:val="005A2392"/>
    <w:rsid w:val="005B3CF7"/>
    <w:rsid w:val="005B3D1E"/>
    <w:rsid w:val="005B66C1"/>
    <w:rsid w:val="005C12DB"/>
    <w:rsid w:val="005C27B4"/>
    <w:rsid w:val="005C29F3"/>
    <w:rsid w:val="005F55D0"/>
    <w:rsid w:val="00603315"/>
    <w:rsid w:val="00611AB1"/>
    <w:rsid w:val="00612FAB"/>
    <w:rsid w:val="00615162"/>
    <w:rsid w:val="0061581E"/>
    <w:rsid w:val="00625970"/>
    <w:rsid w:val="00627BDA"/>
    <w:rsid w:val="00641179"/>
    <w:rsid w:val="006540FF"/>
    <w:rsid w:val="006746F1"/>
    <w:rsid w:val="00674E18"/>
    <w:rsid w:val="00681459"/>
    <w:rsid w:val="00683E58"/>
    <w:rsid w:val="006905BC"/>
    <w:rsid w:val="00690936"/>
    <w:rsid w:val="00694D05"/>
    <w:rsid w:val="00696EAE"/>
    <w:rsid w:val="006A2F24"/>
    <w:rsid w:val="006A667B"/>
    <w:rsid w:val="006B1922"/>
    <w:rsid w:val="006B6022"/>
    <w:rsid w:val="006C1E20"/>
    <w:rsid w:val="006C26BA"/>
    <w:rsid w:val="006C4D8F"/>
    <w:rsid w:val="006D5D6A"/>
    <w:rsid w:val="006E1E9C"/>
    <w:rsid w:val="006E5BF0"/>
    <w:rsid w:val="006E5E85"/>
    <w:rsid w:val="006F2556"/>
    <w:rsid w:val="006F2E50"/>
    <w:rsid w:val="006F6139"/>
    <w:rsid w:val="007010F2"/>
    <w:rsid w:val="00701F3D"/>
    <w:rsid w:val="00703FEF"/>
    <w:rsid w:val="007106B6"/>
    <w:rsid w:val="007111FF"/>
    <w:rsid w:val="00712E39"/>
    <w:rsid w:val="00726533"/>
    <w:rsid w:val="00735C67"/>
    <w:rsid w:val="0073723B"/>
    <w:rsid w:val="00737B57"/>
    <w:rsid w:val="00747D7F"/>
    <w:rsid w:val="007507AA"/>
    <w:rsid w:val="007524E7"/>
    <w:rsid w:val="0075520F"/>
    <w:rsid w:val="00761EE1"/>
    <w:rsid w:val="00782707"/>
    <w:rsid w:val="00784826"/>
    <w:rsid w:val="00794D05"/>
    <w:rsid w:val="007956E5"/>
    <w:rsid w:val="00795C0F"/>
    <w:rsid w:val="007A1C8D"/>
    <w:rsid w:val="007A5AAE"/>
    <w:rsid w:val="007B23E6"/>
    <w:rsid w:val="007B2B68"/>
    <w:rsid w:val="007B4346"/>
    <w:rsid w:val="007B43B1"/>
    <w:rsid w:val="007B4C1D"/>
    <w:rsid w:val="007B5313"/>
    <w:rsid w:val="007B53B5"/>
    <w:rsid w:val="007C30AF"/>
    <w:rsid w:val="007D0B07"/>
    <w:rsid w:val="007D1F26"/>
    <w:rsid w:val="007D2CC2"/>
    <w:rsid w:val="007D545A"/>
    <w:rsid w:val="007D7213"/>
    <w:rsid w:val="007E1C4E"/>
    <w:rsid w:val="007E6B6E"/>
    <w:rsid w:val="007E737F"/>
    <w:rsid w:val="007F425E"/>
    <w:rsid w:val="007F4AC9"/>
    <w:rsid w:val="007F5D8F"/>
    <w:rsid w:val="008137A5"/>
    <w:rsid w:val="00815B75"/>
    <w:rsid w:val="008247BD"/>
    <w:rsid w:val="00824EFE"/>
    <w:rsid w:val="00826539"/>
    <w:rsid w:val="00840289"/>
    <w:rsid w:val="00840CF2"/>
    <w:rsid w:val="00840E7F"/>
    <w:rsid w:val="0084222E"/>
    <w:rsid w:val="00851503"/>
    <w:rsid w:val="00857D5E"/>
    <w:rsid w:val="00865AC5"/>
    <w:rsid w:val="00867BD0"/>
    <w:rsid w:val="0087169C"/>
    <w:rsid w:val="008767A0"/>
    <w:rsid w:val="00881052"/>
    <w:rsid w:val="00881799"/>
    <w:rsid w:val="00896B54"/>
    <w:rsid w:val="008A14ED"/>
    <w:rsid w:val="008A1637"/>
    <w:rsid w:val="008A195E"/>
    <w:rsid w:val="008A31D2"/>
    <w:rsid w:val="008B0BBB"/>
    <w:rsid w:val="008B2702"/>
    <w:rsid w:val="008B6A2D"/>
    <w:rsid w:val="008C0142"/>
    <w:rsid w:val="008D022A"/>
    <w:rsid w:val="008D505C"/>
    <w:rsid w:val="008E0BD2"/>
    <w:rsid w:val="008E758F"/>
    <w:rsid w:val="008E7E81"/>
    <w:rsid w:val="008F649F"/>
    <w:rsid w:val="008F66DC"/>
    <w:rsid w:val="008F6B42"/>
    <w:rsid w:val="008F6DC8"/>
    <w:rsid w:val="00904ABC"/>
    <w:rsid w:val="00905FCF"/>
    <w:rsid w:val="00907096"/>
    <w:rsid w:val="00921DCE"/>
    <w:rsid w:val="00932B92"/>
    <w:rsid w:val="00932DCD"/>
    <w:rsid w:val="00936194"/>
    <w:rsid w:val="0093708D"/>
    <w:rsid w:val="00942CF7"/>
    <w:rsid w:val="00942EF5"/>
    <w:rsid w:val="00980125"/>
    <w:rsid w:val="0098222A"/>
    <w:rsid w:val="0098240E"/>
    <w:rsid w:val="0098449B"/>
    <w:rsid w:val="00996A97"/>
    <w:rsid w:val="009974E2"/>
    <w:rsid w:val="009A0BAE"/>
    <w:rsid w:val="009A5909"/>
    <w:rsid w:val="009C1A2E"/>
    <w:rsid w:val="009C51BB"/>
    <w:rsid w:val="009D1731"/>
    <w:rsid w:val="009D1AFE"/>
    <w:rsid w:val="009D257F"/>
    <w:rsid w:val="009D4BFD"/>
    <w:rsid w:val="009D745E"/>
    <w:rsid w:val="009D7534"/>
    <w:rsid w:val="009E4E30"/>
    <w:rsid w:val="009F5D6E"/>
    <w:rsid w:val="009F757F"/>
    <w:rsid w:val="00A041EB"/>
    <w:rsid w:val="00A07354"/>
    <w:rsid w:val="00A07982"/>
    <w:rsid w:val="00A176AA"/>
    <w:rsid w:val="00A1792F"/>
    <w:rsid w:val="00A20566"/>
    <w:rsid w:val="00A25B2E"/>
    <w:rsid w:val="00A264A8"/>
    <w:rsid w:val="00A266AE"/>
    <w:rsid w:val="00A27AAE"/>
    <w:rsid w:val="00A34411"/>
    <w:rsid w:val="00A40842"/>
    <w:rsid w:val="00A4307A"/>
    <w:rsid w:val="00A51425"/>
    <w:rsid w:val="00A51EF5"/>
    <w:rsid w:val="00A5441C"/>
    <w:rsid w:val="00A54768"/>
    <w:rsid w:val="00A54A54"/>
    <w:rsid w:val="00A65B49"/>
    <w:rsid w:val="00A775F0"/>
    <w:rsid w:val="00A809D6"/>
    <w:rsid w:val="00A809F1"/>
    <w:rsid w:val="00A8133F"/>
    <w:rsid w:val="00A83363"/>
    <w:rsid w:val="00A86BBC"/>
    <w:rsid w:val="00A94EED"/>
    <w:rsid w:val="00A961E9"/>
    <w:rsid w:val="00A9650A"/>
    <w:rsid w:val="00AA22C8"/>
    <w:rsid w:val="00AA69A5"/>
    <w:rsid w:val="00AB3E39"/>
    <w:rsid w:val="00AB74A2"/>
    <w:rsid w:val="00AB763C"/>
    <w:rsid w:val="00AC411B"/>
    <w:rsid w:val="00AC44DF"/>
    <w:rsid w:val="00AC604F"/>
    <w:rsid w:val="00AD0898"/>
    <w:rsid w:val="00AD0D01"/>
    <w:rsid w:val="00AD2617"/>
    <w:rsid w:val="00AD3519"/>
    <w:rsid w:val="00AD47A4"/>
    <w:rsid w:val="00AD6480"/>
    <w:rsid w:val="00AE1A93"/>
    <w:rsid w:val="00AE4AA9"/>
    <w:rsid w:val="00AF287D"/>
    <w:rsid w:val="00AF5A33"/>
    <w:rsid w:val="00AF739D"/>
    <w:rsid w:val="00B0101F"/>
    <w:rsid w:val="00B03DB6"/>
    <w:rsid w:val="00B053D1"/>
    <w:rsid w:val="00B1383E"/>
    <w:rsid w:val="00B1613A"/>
    <w:rsid w:val="00B17FDF"/>
    <w:rsid w:val="00B24EB4"/>
    <w:rsid w:val="00B25ACD"/>
    <w:rsid w:val="00B26DFA"/>
    <w:rsid w:val="00B32373"/>
    <w:rsid w:val="00B357E9"/>
    <w:rsid w:val="00B5024A"/>
    <w:rsid w:val="00B50A60"/>
    <w:rsid w:val="00B545E6"/>
    <w:rsid w:val="00B57C46"/>
    <w:rsid w:val="00B63BEE"/>
    <w:rsid w:val="00B63C7C"/>
    <w:rsid w:val="00B67311"/>
    <w:rsid w:val="00B7580F"/>
    <w:rsid w:val="00B7709A"/>
    <w:rsid w:val="00B77913"/>
    <w:rsid w:val="00B828AA"/>
    <w:rsid w:val="00B82F53"/>
    <w:rsid w:val="00B901A1"/>
    <w:rsid w:val="00B91571"/>
    <w:rsid w:val="00B94F93"/>
    <w:rsid w:val="00BA20AC"/>
    <w:rsid w:val="00BB0A6D"/>
    <w:rsid w:val="00BC3E00"/>
    <w:rsid w:val="00BD2291"/>
    <w:rsid w:val="00BD5EC9"/>
    <w:rsid w:val="00BD79A1"/>
    <w:rsid w:val="00BF179F"/>
    <w:rsid w:val="00C006B7"/>
    <w:rsid w:val="00C05366"/>
    <w:rsid w:val="00C118B4"/>
    <w:rsid w:val="00C166CA"/>
    <w:rsid w:val="00C16B72"/>
    <w:rsid w:val="00C22119"/>
    <w:rsid w:val="00C25F8E"/>
    <w:rsid w:val="00C27B89"/>
    <w:rsid w:val="00C332E3"/>
    <w:rsid w:val="00C358EE"/>
    <w:rsid w:val="00C4781C"/>
    <w:rsid w:val="00C501FF"/>
    <w:rsid w:val="00C508C9"/>
    <w:rsid w:val="00C526CF"/>
    <w:rsid w:val="00C5368C"/>
    <w:rsid w:val="00C53949"/>
    <w:rsid w:val="00C53A61"/>
    <w:rsid w:val="00C54055"/>
    <w:rsid w:val="00C54238"/>
    <w:rsid w:val="00C5501C"/>
    <w:rsid w:val="00C56B67"/>
    <w:rsid w:val="00C573B5"/>
    <w:rsid w:val="00C66315"/>
    <w:rsid w:val="00C7605A"/>
    <w:rsid w:val="00C823F3"/>
    <w:rsid w:val="00C9185A"/>
    <w:rsid w:val="00C9598A"/>
    <w:rsid w:val="00CB5BC2"/>
    <w:rsid w:val="00CD262B"/>
    <w:rsid w:val="00CD7425"/>
    <w:rsid w:val="00CE04C2"/>
    <w:rsid w:val="00CE6458"/>
    <w:rsid w:val="00CF3033"/>
    <w:rsid w:val="00CF5DF9"/>
    <w:rsid w:val="00D019E3"/>
    <w:rsid w:val="00D020B0"/>
    <w:rsid w:val="00D0250D"/>
    <w:rsid w:val="00D045F4"/>
    <w:rsid w:val="00D056E8"/>
    <w:rsid w:val="00D1122F"/>
    <w:rsid w:val="00D1485D"/>
    <w:rsid w:val="00D15BB1"/>
    <w:rsid w:val="00D2256F"/>
    <w:rsid w:val="00D30308"/>
    <w:rsid w:val="00D309FC"/>
    <w:rsid w:val="00D36856"/>
    <w:rsid w:val="00D368C2"/>
    <w:rsid w:val="00D42618"/>
    <w:rsid w:val="00D42D82"/>
    <w:rsid w:val="00D4654E"/>
    <w:rsid w:val="00D52572"/>
    <w:rsid w:val="00D60ACD"/>
    <w:rsid w:val="00D60DCD"/>
    <w:rsid w:val="00D715C6"/>
    <w:rsid w:val="00D7164F"/>
    <w:rsid w:val="00D71808"/>
    <w:rsid w:val="00D7588B"/>
    <w:rsid w:val="00D75E9F"/>
    <w:rsid w:val="00D85610"/>
    <w:rsid w:val="00D901AE"/>
    <w:rsid w:val="00D9395C"/>
    <w:rsid w:val="00D9532A"/>
    <w:rsid w:val="00D9728F"/>
    <w:rsid w:val="00DA0A14"/>
    <w:rsid w:val="00DA1EAA"/>
    <w:rsid w:val="00DA4710"/>
    <w:rsid w:val="00DB5680"/>
    <w:rsid w:val="00DC3370"/>
    <w:rsid w:val="00DC40C0"/>
    <w:rsid w:val="00DC5131"/>
    <w:rsid w:val="00DC57C5"/>
    <w:rsid w:val="00DD0F73"/>
    <w:rsid w:val="00DD6D22"/>
    <w:rsid w:val="00DD7270"/>
    <w:rsid w:val="00DD73AD"/>
    <w:rsid w:val="00DE27E7"/>
    <w:rsid w:val="00DE3CED"/>
    <w:rsid w:val="00DE4C42"/>
    <w:rsid w:val="00DE4F61"/>
    <w:rsid w:val="00DE6813"/>
    <w:rsid w:val="00DF2BD0"/>
    <w:rsid w:val="00E06C0D"/>
    <w:rsid w:val="00E1626D"/>
    <w:rsid w:val="00E20718"/>
    <w:rsid w:val="00E36CB8"/>
    <w:rsid w:val="00E37596"/>
    <w:rsid w:val="00E3799B"/>
    <w:rsid w:val="00E4457B"/>
    <w:rsid w:val="00E53FF4"/>
    <w:rsid w:val="00E6088A"/>
    <w:rsid w:val="00E65487"/>
    <w:rsid w:val="00E678BE"/>
    <w:rsid w:val="00E7134B"/>
    <w:rsid w:val="00E75CB6"/>
    <w:rsid w:val="00E77CFC"/>
    <w:rsid w:val="00E77F85"/>
    <w:rsid w:val="00E870AB"/>
    <w:rsid w:val="00E87662"/>
    <w:rsid w:val="00E87756"/>
    <w:rsid w:val="00E904BD"/>
    <w:rsid w:val="00E926E4"/>
    <w:rsid w:val="00E9282A"/>
    <w:rsid w:val="00E92D08"/>
    <w:rsid w:val="00E9705E"/>
    <w:rsid w:val="00EA779F"/>
    <w:rsid w:val="00EB16D6"/>
    <w:rsid w:val="00EB2079"/>
    <w:rsid w:val="00EB5FBF"/>
    <w:rsid w:val="00EB7043"/>
    <w:rsid w:val="00EC0938"/>
    <w:rsid w:val="00EC4EE7"/>
    <w:rsid w:val="00EC6E30"/>
    <w:rsid w:val="00EC6F57"/>
    <w:rsid w:val="00ED2DEA"/>
    <w:rsid w:val="00ED369C"/>
    <w:rsid w:val="00ED550C"/>
    <w:rsid w:val="00EE6668"/>
    <w:rsid w:val="00EF6EDB"/>
    <w:rsid w:val="00EF7321"/>
    <w:rsid w:val="00EF7AF1"/>
    <w:rsid w:val="00F04E66"/>
    <w:rsid w:val="00F06AF7"/>
    <w:rsid w:val="00F144EB"/>
    <w:rsid w:val="00F1508E"/>
    <w:rsid w:val="00F1706A"/>
    <w:rsid w:val="00F17C3D"/>
    <w:rsid w:val="00F23A76"/>
    <w:rsid w:val="00F275EF"/>
    <w:rsid w:val="00F31C69"/>
    <w:rsid w:val="00F32E9C"/>
    <w:rsid w:val="00F34F29"/>
    <w:rsid w:val="00F351F6"/>
    <w:rsid w:val="00F352BD"/>
    <w:rsid w:val="00F36D8D"/>
    <w:rsid w:val="00F378CF"/>
    <w:rsid w:val="00F44164"/>
    <w:rsid w:val="00F46A7C"/>
    <w:rsid w:val="00F640B3"/>
    <w:rsid w:val="00F72300"/>
    <w:rsid w:val="00F7233F"/>
    <w:rsid w:val="00F75A41"/>
    <w:rsid w:val="00F82A6B"/>
    <w:rsid w:val="00F9262A"/>
    <w:rsid w:val="00F93B79"/>
    <w:rsid w:val="00F9501D"/>
    <w:rsid w:val="00FC1E6E"/>
    <w:rsid w:val="00FC2CAB"/>
    <w:rsid w:val="00FC5456"/>
    <w:rsid w:val="00FC5986"/>
    <w:rsid w:val="00FC68CF"/>
    <w:rsid w:val="00FC761F"/>
    <w:rsid w:val="00FC7B81"/>
    <w:rsid w:val="00FD1888"/>
    <w:rsid w:val="00FD6E74"/>
    <w:rsid w:val="00FE3666"/>
    <w:rsid w:val="00FE48F6"/>
    <w:rsid w:val="00FE54AB"/>
    <w:rsid w:val="00FF49C2"/>
    <w:rsid w:val="00FF63B1"/>
    <w:rsid w:val="00FF7200"/>
    <w:rsid w:val="01178264"/>
    <w:rsid w:val="1BFA291F"/>
    <w:rsid w:val="2D6FC4A7"/>
    <w:rsid w:val="2F34F495"/>
    <w:rsid w:val="312CC894"/>
    <w:rsid w:val="36F18B46"/>
    <w:rsid w:val="38E7F8FB"/>
    <w:rsid w:val="4EE05D69"/>
    <w:rsid w:val="4F1A4A5E"/>
    <w:rsid w:val="50E9658D"/>
    <w:rsid w:val="55FC165A"/>
    <w:rsid w:val="567C9D94"/>
    <w:rsid w:val="5F04E800"/>
    <w:rsid w:val="5F9FE676"/>
    <w:rsid w:val="5FD9B80A"/>
    <w:rsid w:val="63FA78FE"/>
    <w:rsid w:val="668BDE9B"/>
    <w:rsid w:val="6EBFC30C"/>
    <w:rsid w:val="73BF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05736"/>
  <w15:chartTrackingRefBased/>
  <w15:docId w15:val="{127A60BB-BE47-4B38-84B0-F6D26B7E9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19E3"/>
    <w:rPr>
      <w:rFonts w:ascii="Roboto" w:hAnsi="Roboto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019E3"/>
    <w:pPr>
      <w:keepNext/>
      <w:keepLines/>
      <w:spacing w:before="360" w:after="80"/>
      <w:outlineLvl w:val="0"/>
    </w:pPr>
    <w:rPr>
      <w:rFonts w:eastAsiaTheme="majorEastAsia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019E3"/>
    <w:pPr>
      <w:keepNext/>
      <w:keepLines/>
      <w:spacing w:before="160" w:after="80"/>
      <w:outlineLvl w:val="1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019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C1A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9C1A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815B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sz w:val="2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C1A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C1A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C1A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autoRedefine/>
    <w:uiPriority w:val="34"/>
    <w:qFormat/>
    <w:rsid w:val="002B683A"/>
    <w:pPr>
      <w:widowControl w:val="0"/>
      <w:autoSpaceDE w:val="0"/>
      <w:autoSpaceDN w:val="0"/>
      <w:spacing w:before="145" w:after="0" w:line="240" w:lineRule="auto"/>
      <w:ind w:left="1086" w:hanging="360"/>
    </w:pPr>
    <w:rPr>
      <w:rFonts w:eastAsia="Microsoft Sans Serif" w:cs="Microsoft Sans Serif"/>
      <w:sz w:val="18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019E3"/>
    <w:rPr>
      <w:rFonts w:ascii="Roboto" w:eastAsiaTheme="majorEastAsia" w:hAnsi="Roboto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019E3"/>
    <w:rPr>
      <w:rFonts w:ascii="Roboto" w:eastAsiaTheme="majorEastAsia" w:hAnsi="Roboto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019E3"/>
    <w:rPr>
      <w:rFonts w:ascii="Roboto" w:eastAsiaTheme="majorEastAsia" w:hAnsi="Roboto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C1A2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C1A2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815B75"/>
    <w:rPr>
      <w:rFonts w:eastAsiaTheme="majorEastAsia" w:cstheme="majorBidi"/>
      <w:i/>
      <w:iCs/>
      <w:color w:val="595959" w:themeColor="text1" w:themeTint="A6"/>
      <w:sz w:val="2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C1A2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C1A2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C1A2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C1A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C1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C1A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C1A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C1A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C1A2E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C1A2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C1A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C1A2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C1A2E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9C1A2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C1A2E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746F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746F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746F1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907"/>
    <w:rPr>
      <w:color w:val="96607D" w:themeColor="followed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25146B"/>
    <w:pPr>
      <w:spacing w:before="240" w:after="0"/>
      <w:outlineLvl w:val="9"/>
    </w:pPr>
    <w:rPr>
      <w:kern w:val="0"/>
      <w:sz w:val="32"/>
      <w:szCs w:val="32"/>
      <w:lang w:eastAsia="it-IT"/>
      <w14:ligatures w14:val="none"/>
    </w:rPr>
  </w:style>
  <w:style w:type="paragraph" w:styleId="Sommario2">
    <w:name w:val="toc 2"/>
    <w:basedOn w:val="Normale"/>
    <w:next w:val="Normale"/>
    <w:autoRedefine/>
    <w:uiPriority w:val="39"/>
    <w:unhideWhenUsed/>
    <w:rsid w:val="0025146B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25146B"/>
    <w:pPr>
      <w:spacing w:after="100"/>
      <w:ind w:left="440"/>
    </w:pPr>
  </w:style>
  <w:style w:type="paragraph" w:styleId="Intestazione">
    <w:name w:val="header"/>
    <w:basedOn w:val="Normale"/>
    <w:link w:val="IntestazioneCarattere"/>
    <w:uiPriority w:val="99"/>
    <w:unhideWhenUsed/>
    <w:rsid w:val="00D939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395C"/>
  </w:style>
  <w:style w:type="paragraph" w:styleId="Pidipagina">
    <w:name w:val="footer"/>
    <w:basedOn w:val="Normale"/>
    <w:link w:val="PidipaginaCarattere"/>
    <w:uiPriority w:val="99"/>
    <w:unhideWhenUsed/>
    <w:rsid w:val="00D939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95C"/>
  </w:style>
  <w:style w:type="paragraph" w:styleId="NormaleWeb">
    <w:name w:val="Normal (Web)"/>
    <w:basedOn w:val="Normale"/>
    <w:uiPriority w:val="99"/>
    <w:semiHidden/>
    <w:unhideWhenUsed/>
    <w:rsid w:val="004C1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3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21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69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0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2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506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463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886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ransparency.it/indice-percezione-corruzion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ransparency.it/direttiva-europea-anticorruzion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TransparencyItalia" TargetMode="External"/><Relationship Id="rId7" Type="http://schemas.openxmlformats.org/officeDocument/2006/relationships/hyperlink" Target="https://www.youtube.com/channel/UCAEXQKrOG7oNvntp4ZD3qGg" TargetMode="External"/><Relationship Id="rId2" Type="http://schemas.openxmlformats.org/officeDocument/2006/relationships/hyperlink" Target="http://www.transparency.it/" TargetMode="External"/><Relationship Id="rId1" Type="http://schemas.openxmlformats.org/officeDocument/2006/relationships/hyperlink" Target="mailto:media@transparency.it" TargetMode="External"/><Relationship Id="rId6" Type="http://schemas.openxmlformats.org/officeDocument/2006/relationships/hyperlink" Target="https://www.instagram.com/transparency_italia/" TargetMode="External"/><Relationship Id="rId5" Type="http://schemas.openxmlformats.org/officeDocument/2006/relationships/hyperlink" Target="https://www.linkedin.com/company/transparency-international-italia/" TargetMode="External"/><Relationship Id="rId4" Type="http://schemas.openxmlformats.org/officeDocument/2006/relationships/hyperlink" Target="https://twitter.com/transparency_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906D8B485A944B17465EEB5DDA6C8" ma:contentTypeVersion="18" ma:contentTypeDescription="Creare un nuovo documento." ma:contentTypeScope="" ma:versionID="d09025024204297014d97d55628e7825">
  <xsd:schema xmlns:xsd="http://www.w3.org/2001/XMLSchema" xmlns:xs="http://www.w3.org/2001/XMLSchema" xmlns:p="http://schemas.microsoft.com/office/2006/metadata/properties" xmlns:ns2="6567e1fb-280d-4b75-81d0-6eb38fa2480c" xmlns:ns3="2018202d-83bf-4898-89fc-8b5dc4ab3f10" targetNamespace="http://schemas.microsoft.com/office/2006/metadata/properties" ma:root="true" ma:fieldsID="4230f87b580cbe4dfe498605629df04b" ns2:_="" ns3:_="">
    <xsd:import namespace="6567e1fb-280d-4b75-81d0-6eb38fa2480c"/>
    <xsd:import namespace="2018202d-83bf-4898-89fc-8b5dc4ab3f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7e1fb-280d-4b75-81d0-6eb38fa248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ee0e7f14-93e5-479f-a7c4-08a1eebfc4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18202d-83bf-4898-89fc-8b5dc4ab3f1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c877b9d-f443-495d-817a-680366cb2322}" ma:internalName="TaxCatchAll" ma:showField="CatchAllData" ma:web="2018202d-83bf-4898-89fc-8b5dc4ab3f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18202d-83bf-4898-89fc-8b5dc4ab3f10" xsi:nil="true"/>
    <lcf76f155ced4ddcb4097134ff3c332f xmlns="6567e1fb-280d-4b75-81d0-6eb38fa248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A139B1-A8FF-4046-BF29-3EA3910141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608D53-77A4-430C-82B3-EDF24F00D1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7e1fb-280d-4b75-81d0-6eb38fa2480c"/>
    <ds:schemaRef ds:uri="2018202d-83bf-4898-89fc-8b5dc4ab3f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4813E5-E66C-4A0A-BC10-48DA907FDC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3146C9-791C-4A07-B52E-05A2282678F3}">
  <ds:schemaRefs>
    <ds:schemaRef ds:uri="http://schemas.microsoft.com/office/2006/metadata/properties"/>
    <ds:schemaRef ds:uri="http://schemas.microsoft.com/office/infopath/2007/PartnerControls"/>
    <ds:schemaRef ds:uri="2018202d-83bf-4898-89fc-8b5dc4ab3f10"/>
    <ds:schemaRef ds:uri="6567e1fb-280d-4b75-81d0-6eb38fa248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Links>
    <vt:vector size="54" baseType="variant">
      <vt:variant>
        <vt:i4>4522061</vt:i4>
      </vt:variant>
      <vt:variant>
        <vt:i4>3</vt:i4>
      </vt:variant>
      <vt:variant>
        <vt:i4>0</vt:i4>
      </vt:variant>
      <vt:variant>
        <vt:i4>5</vt:i4>
      </vt:variant>
      <vt:variant>
        <vt:lpwstr>https://www.transparency.it/indice-percezione-corruzione</vt:lpwstr>
      </vt:variant>
      <vt:variant>
        <vt:lpwstr/>
      </vt:variant>
      <vt:variant>
        <vt:i4>1835009</vt:i4>
      </vt:variant>
      <vt:variant>
        <vt:i4>0</vt:i4>
      </vt:variant>
      <vt:variant>
        <vt:i4>0</vt:i4>
      </vt:variant>
      <vt:variant>
        <vt:i4>5</vt:i4>
      </vt:variant>
      <vt:variant>
        <vt:lpwstr>https://www.transparency.it/direttiva-europea-anticorruzione</vt:lpwstr>
      </vt:variant>
      <vt:variant>
        <vt:lpwstr/>
      </vt:variant>
      <vt:variant>
        <vt:i4>5898323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https://www.youtube.com/channel/UCAEXQKrOG7oNvntp4ZD3qGg</vt:lpwstr>
      </vt:variant>
      <vt:variant>
        <vt:lpwstr/>
      </vt:variant>
      <vt:variant>
        <vt:i4>8192013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https://www.instagram.com/transparency_italia/</vt:lpwstr>
      </vt:variant>
      <vt:variant>
        <vt:lpwstr/>
      </vt:variant>
      <vt:variant>
        <vt:i4>4128883</vt:i4>
      </vt:variant>
      <vt:variant>
        <vt:i4>12</vt:i4>
      </vt:variant>
      <vt:variant>
        <vt:i4>0</vt:i4>
      </vt:variant>
      <vt:variant>
        <vt:i4>5</vt:i4>
      </vt:variant>
      <vt:variant>
        <vt:lpwstr>https://www.linkedin.com/company/transparency-international-italia/</vt:lpwstr>
      </vt:variant>
      <vt:variant>
        <vt:lpwstr/>
      </vt:variant>
      <vt:variant>
        <vt:i4>7929867</vt:i4>
      </vt:variant>
      <vt:variant>
        <vt:i4>9</vt:i4>
      </vt:variant>
      <vt:variant>
        <vt:i4>0</vt:i4>
      </vt:variant>
      <vt:variant>
        <vt:i4>5</vt:i4>
      </vt:variant>
      <vt:variant>
        <vt:lpwstr>https://twitter.com/transparency_it</vt:lpwstr>
      </vt:variant>
      <vt:variant>
        <vt:lpwstr/>
      </vt:variant>
      <vt:variant>
        <vt:i4>2490423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https://www.facebook.com/TransparencyItalia</vt:lpwstr>
      </vt:variant>
      <vt:variant>
        <vt:lpwstr/>
      </vt:variant>
      <vt:variant>
        <vt:i4>7340080</vt:i4>
      </vt:variant>
      <vt:variant>
        <vt:i4>3</vt:i4>
      </vt:variant>
      <vt:variant>
        <vt:i4>0</vt:i4>
      </vt:variant>
      <vt:variant>
        <vt:i4>5</vt:i4>
      </vt:variant>
      <vt:variant>
        <vt:lpwstr>http://www.transparency.it/</vt:lpwstr>
      </vt:variant>
      <vt:variant>
        <vt:lpwstr/>
      </vt:variant>
      <vt:variant>
        <vt:i4>5308518</vt:i4>
      </vt:variant>
      <vt:variant>
        <vt:i4>0</vt:i4>
      </vt:variant>
      <vt:variant>
        <vt:i4>0</vt:i4>
      </vt:variant>
      <vt:variant>
        <vt:i4>5</vt:i4>
      </vt:variant>
      <vt:variant>
        <vt:lpwstr>mailto:media@transparency.it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Casula</dc:creator>
  <cp:keywords/>
  <dc:description/>
  <cp:lastModifiedBy>Daniela Casula</cp:lastModifiedBy>
  <cp:revision>2</cp:revision>
  <dcterms:created xsi:type="dcterms:W3CDTF">2025-02-11T05:29:00Z</dcterms:created>
  <dcterms:modified xsi:type="dcterms:W3CDTF">2025-02-11T05:29:00Z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0x0101006C2906D8B485A944B17465EEB5DDA6C8</vt:lpwstr>
  </property>
  <property fmtid="{D5CDD505-2E9C-101B-9397-08002B2CF9AE}" pid="3" name="MediaServiceImageTags">
    <vt:lpwstr/>
  </property>
</Properties>
</file>